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Y="1"/>
        <w:tblOverlap w:val="never"/>
        <w:tblW w:w="8046" w:type="dxa"/>
        <w:tblLook w:val="04A0" w:firstRow="1" w:lastRow="0" w:firstColumn="1" w:lastColumn="0" w:noHBand="0" w:noVBand="1"/>
      </w:tblPr>
      <w:tblGrid>
        <w:gridCol w:w="3787"/>
        <w:gridCol w:w="1566"/>
        <w:gridCol w:w="1171"/>
        <w:gridCol w:w="1522"/>
      </w:tblGrid>
      <w:tr w:rsidR="00DE4698" w:rsidRPr="00DE4698" w:rsidTr="003576C5">
        <w:trPr>
          <w:trHeight w:val="694"/>
        </w:trPr>
        <w:tc>
          <w:tcPr>
            <w:tcW w:w="3787" w:type="dxa"/>
            <w:vMerge w:val="restart"/>
          </w:tcPr>
          <w:p w:rsidR="00DE4698" w:rsidRPr="00DE4698" w:rsidRDefault="00DE4698" w:rsidP="0035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98">
              <w:rPr>
                <w:b/>
                <w:bCs/>
                <w:sz w:val="24"/>
                <w:szCs w:val="24"/>
              </w:rPr>
              <w:t xml:space="preserve">Punti programma </w:t>
            </w:r>
            <w:r>
              <w:rPr>
                <w:b/>
                <w:bCs/>
                <w:sz w:val="24"/>
                <w:szCs w:val="24"/>
              </w:rPr>
              <w:t>elettorale sindaco</w:t>
            </w:r>
            <w:r w:rsidR="008F72E0">
              <w:rPr>
                <w:b/>
                <w:bCs/>
                <w:sz w:val="24"/>
                <w:szCs w:val="24"/>
              </w:rPr>
              <w:t xml:space="preserve"> Pino</w:t>
            </w:r>
            <w:r w:rsidR="00AC59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Capalbo</w:t>
            </w:r>
            <w:proofErr w:type="spellEnd"/>
          </w:p>
        </w:tc>
        <w:tc>
          <w:tcPr>
            <w:tcW w:w="4259" w:type="dxa"/>
            <w:gridSpan w:val="3"/>
          </w:tcPr>
          <w:p w:rsidR="00DE4698" w:rsidRPr="00DE4698" w:rsidRDefault="00DE4698" w:rsidP="0035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98">
              <w:rPr>
                <w:b/>
                <w:bCs/>
                <w:sz w:val="24"/>
                <w:szCs w:val="24"/>
              </w:rPr>
              <w:t>Realizzati</w:t>
            </w:r>
          </w:p>
        </w:tc>
      </w:tr>
      <w:tr w:rsidR="00BA2C9E" w:rsidRPr="00BA2C9E" w:rsidTr="003576C5">
        <w:trPr>
          <w:trHeight w:val="409"/>
        </w:trPr>
        <w:tc>
          <w:tcPr>
            <w:tcW w:w="3787" w:type="dxa"/>
            <w:vMerge/>
          </w:tcPr>
          <w:p w:rsidR="00BA2C9E" w:rsidRPr="00BA2C9E" w:rsidRDefault="00BA2C9E" w:rsidP="003576C5">
            <w:pPr>
              <w:jc w:val="center"/>
              <w:rPr>
                <w:b/>
                <w:bCs/>
                <w:color w:val="FF33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2C9E" w:rsidRPr="00BA2C9E" w:rsidRDefault="00BA2C9E" w:rsidP="003576C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A2C9E">
              <w:rPr>
                <w:b/>
                <w:bCs/>
                <w:color w:val="00B050"/>
                <w:sz w:val="24"/>
                <w:szCs w:val="24"/>
              </w:rPr>
              <w:t xml:space="preserve">SI                        </w:t>
            </w:r>
          </w:p>
        </w:tc>
        <w:tc>
          <w:tcPr>
            <w:tcW w:w="1171" w:type="dxa"/>
          </w:tcPr>
          <w:p w:rsidR="00BA2C9E" w:rsidRPr="009C5E75" w:rsidRDefault="00BA2C9E" w:rsidP="003576C5">
            <w:pPr>
              <w:jc w:val="center"/>
              <w:rPr>
                <w:b/>
                <w:bCs/>
                <w:color w:val="CC0000"/>
                <w:sz w:val="24"/>
                <w:szCs w:val="24"/>
              </w:rPr>
            </w:pPr>
            <w:r w:rsidRPr="009C5E75">
              <w:rPr>
                <w:b/>
                <w:bCs/>
                <w:color w:val="CC0000"/>
                <w:sz w:val="24"/>
                <w:szCs w:val="24"/>
              </w:rPr>
              <w:t>NO</w:t>
            </w:r>
          </w:p>
          <w:p w:rsidR="00BA2C9E" w:rsidRPr="00BA2C9E" w:rsidRDefault="00BA2C9E" w:rsidP="003576C5">
            <w:pPr>
              <w:jc w:val="center"/>
              <w:rPr>
                <w:color w:val="FF33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BA2C9E" w:rsidRPr="008D428F" w:rsidRDefault="00BA2C9E" w:rsidP="003576C5">
            <w:pPr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3576C5">
              <w:rPr>
                <w:b/>
                <w:bCs/>
                <w:color w:val="1F497D" w:themeColor="text2"/>
                <w:sz w:val="24"/>
                <w:szCs w:val="24"/>
              </w:rPr>
              <w:t>INCOMPLETI</w:t>
            </w:r>
          </w:p>
        </w:tc>
      </w:tr>
      <w:tr w:rsidR="00BA2C9E" w:rsidTr="003576C5">
        <w:trPr>
          <w:trHeight w:val="349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Istituzione ufficio legale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FB4FE0" w:rsidRDefault="009C5E75" w:rsidP="003576C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8F72E0" w:rsidP="0035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Introduzione dello strumento del r</w:t>
            </w:r>
            <w:r w:rsidR="00BA2C9E" w:rsidRPr="005A22DD">
              <w:rPr>
                <w:sz w:val="18"/>
                <w:szCs w:val="18"/>
              </w:rPr>
              <w:t>eferendum cittadino su tematiche importanti e dibattute nella comunità come ad esempio parziale apertura al traffico di corso Pertini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FB4FE0" w:rsidRDefault="009C5E75" w:rsidP="003576C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Recepimento del regolamento sulla gestione condivisa dei beni comuni</w:t>
            </w:r>
          </w:p>
        </w:tc>
        <w:tc>
          <w:tcPr>
            <w:tcW w:w="1566" w:type="dxa"/>
          </w:tcPr>
          <w:p w:rsidR="00BA2C9E" w:rsidRPr="00C637E1" w:rsidRDefault="00BA2C9E" w:rsidP="003576C5">
            <w:pPr>
              <w:rPr>
                <w:sz w:val="28"/>
                <w:szCs w:val="28"/>
              </w:rPr>
            </w:pPr>
          </w:p>
          <w:p w:rsidR="00BA2C9E" w:rsidRDefault="00BA2C9E" w:rsidP="003576C5"/>
        </w:tc>
        <w:tc>
          <w:tcPr>
            <w:tcW w:w="1171" w:type="dxa"/>
          </w:tcPr>
          <w:p w:rsidR="00BA2C9E" w:rsidRPr="00FB4FE0" w:rsidRDefault="009C5E75" w:rsidP="003576C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262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Istituzione del consiglio comunale dei ragazzi della consulta dei territori  specie delle periferie di una serie di gruppi di lavoro in capo ad ogni assessorato</w:t>
            </w:r>
            <w:r w:rsidR="008F72E0">
              <w:rPr>
                <w:sz w:val="18"/>
                <w:szCs w:val="18"/>
              </w:rPr>
              <w:t xml:space="preserve"> composta da quei cittadini </w:t>
            </w:r>
            <w:r w:rsidRPr="005A22DD">
              <w:rPr>
                <w:sz w:val="18"/>
                <w:szCs w:val="18"/>
              </w:rPr>
              <w:t>che volessero mettere le loro competenze al servizio della cosa pubblica</w:t>
            </w:r>
          </w:p>
        </w:tc>
        <w:tc>
          <w:tcPr>
            <w:tcW w:w="1566" w:type="dxa"/>
          </w:tcPr>
          <w:p w:rsidR="00BA2C9E" w:rsidRPr="003576C5" w:rsidRDefault="00C12999" w:rsidP="003576C5">
            <w:pPr>
              <w:jc w:val="center"/>
              <w:rPr>
                <w:color w:val="92D050"/>
              </w:rPr>
            </w:pPr>
            <w:r w:rsidRPr="003576C5">
              <w:rPr>
                <w:color w:val="92D050"/>
              </w:rPr>
              <w:t>✔</w:t>
            </w:r>
          </w:p>
        </w:tc>
        <w:tc>
          <w:tcPr>
            <w:tcW w:w="1171" w:type="dxa"/>
          </w:tcPr>
          <w:p w:rsidR="00BA2C9E" w:rsidRPr="00FB4FE0" w:rsidRDefault="00BA2C9E" w:rsidP="003576C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Introduzione del bilancio partecipato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Istituzione dell'ufficio di collocamento dei servizi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E2669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616"/>
        </w:trPr>
        <w:tc>
          <w:tcPr>
            <w:tcW w:w="3787" w:type="dxa"/>
          </w:tcPr>
          <w:p w:rsidR="00BA2C9E" w:rsidRPr="005A22DD" w:rsidRDefault="008F72E0" w:rsidP="0035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 del</w:t>
            </w:r>
            <w:r w:rsidR="00BA2C9E" w:rsidRPr="005A22DD">
              <w:rPr>
                <w:sz w:val="18"/>
                <w:szCs w:val="18"/>
              </w:rPr>
              <w:t xml:space="preserve"> forum delle associazioni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E2669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Internalizzazione</w:t>
            </w:r>
            <w:r w:rsidR="008D428F">
              <w:rPr>
                <w:sz w:val="18"/>
                <w:szCs w:val="18"/>
              </w:rPr>
              <w:t xml:space="preserve">, </w:t>
            </w:r>
            <w:r w:rsidRPr="005A22DD">
              <w:rPr>
                <w:sz w:val="18"/>
                <w:szCs w:val="18"/>
              </w:rPr>
              <w:t xml:space="preserve">entro la legislatura, del servizio di raccolta differenziata attraverso l'impiego del personale comunale in </w:t>
            </w:r>
            <w:proofErr w:type="spellStart"/>
            <w:r w:rsidRPr="005A22DD">
              <w:rPr>
                <w:sz w:val="18"/>
                <w:szCs w:val="18"/>
              </w:rPr>
              <w:t>house</w:t>
            </w:r>
            <w:proofErr w:type="spellEnd"/>
            <w:r w:rsidRPr="005A22DD">
              <w:rPr>
                <w:sz w:val="18"/>
                <w:szCs w:val="18"/>
              </w:rPr>
              <w:t xml:space="preserve"> con un abbattimento dei costi di gestione e dunque un sensibile taglio in bollett</w:t>
            </w:r>
            <w:r w:rsidR="008F72E0">
              <w:rPr>
                <w:sz w:val="18"/>
                <w:szCs w:val="18"/>
              </w:rPr>
              <w:t>a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E2669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Snellimento della macchina burocratica comunale e ottimizzazione dei servizi attraverso l’ introduzione di strumenti di valutazione  </w:t>
            </w:r>
            <w:r w:rsidR="00351724">
              <w:rPr>
                <w:sz w:val="18"/>
                <w:szCs w:val="18"/>
              </w:rPr>
              <w:t>periodica</w:t>
            </w:r>
            <w:r w:rsidR="008F72E0">
              <w:rPr>
                <w:sz w:val="18"/>
                <w:szCs w:val="18"/>
              </w:rPr>
              <w:t xml:space="preserve"> dei</w:t>
            </w:r>
            <w:r w:rsidRPr="005A22DD">
              <w:rPr>
                <w:sz w:val="18"/>
                <w:szCs w:val="18"/>
              </w:rPr>
              <w:t xml:space="preserve"> dirigenti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E2669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Miglioramento della trasparenza amministrativa e dell' E- </w:t>
            </w:r>
            <w:proofErr w:type="spellStart"/>
            <w:r w:rsidRPr="005A22DD">
              <w:rPr>
                <w:sz w:val="18"/>
                <w:szCs w:val="18"/>
              </w:rPr>
              <w:t>Government</w:t>
            </w:r>
            <w:proofErr w:type="spellEnd"/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FB4FE0" w:rsidRDefault="008F72E0" w:rsidP="003576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0070C0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130978" w:rsidRDefault="00BA2C9E" w:rsidP="003576C5">
            <w:pPr>
              <w:rPr>
                <w:sz w:val="16"/>
                <w:szCs w:val="16"/>
              </w:rPr>
            </w:pPr>
            <w:r w:rsidRPr="005A22DD">
              <w:rPr>
                <w:sz w:val="18"/>
                <w:szCs w:val="18"/>
              </w:rPr>
              <w:t xml:space="preserve">Ripensamento della struttura di parco </w:t>
            </w:r>
            <w:proofErr w:type="spellStart"/>
            <w:r w:rsidRPr="005A22DD">
              <w:rPr>
                <w:sz w:val="18"/>
                <w:szCs w:val="18"/>
              </w:rPr>
              <w:t>Varrise</w:t>
            </w:r>
            <w:proofErr w:type="spellEnd"/>
            <w:r w:rsidRPr="005A22DD">
              <w:rPr>
                <w:sz w:val="18"/>
                <w:szCs w:val="18"/>
              </w:rPr>
              <w:t xml:space="preserve"> per rilanciare attrattività e valore naturalistico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FB4FE0" w:rsidRDefault="00BA2C9E" w:rsidP="003576C5"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rFonts w:cstheme="minorHAnsi"/>
                <w:color w:val="171785"/>
              </w:rPr>
              <w:t>X</w:t>
            </w: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lastRenderedPageBreak/>
              <w:t>Istituzione della prima scuola teatrale comunale in collaborazione con le associazioni presenti sul territorio che coinvolga gli istituti scolastici da svolgersi presso l'anfiteatro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FB4FE0" w:rsidRDefault="008F72E0" w:rsidP="003576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Avvio di una fase di collaborazione con la soprintendenza per i beni culturali della Calabria per realizzare la mappatura dei beni culturali e paesaggistici presenti sul territorio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Creazione di una lista di immobili comunali da sottoporre all’interesse delle più importanti istituzioni culturali al fine di invogliare nell’utilizzo da parte delle stesse per progetti sede distaccate e festival culturali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Promozione del centro storico urbano e di quelli periferici attraverso la riqualificazione degli edifici esistenti da destinare all' accoglienza turistico diffusa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Default="00BA2C9E" w:rsidP="003576C5"/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rFonts w:cstheme="minorHAnsi"/>
                <w:color w:val="171785"/>
              </w:rPr>
              <w:t>X</w:t>
            </w: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130978" w:rsidRDefault="00BA2C9E" w:rsidP="003576C5">
            <w:pPr>
              <w:rPr>
                <w:sz w:val="18"/>
                <w:szCs w:val="18"/>
              </w:rPr>
            </w:pPr>
            <w:r w:rsidRPr="00130978">
              <w:rPr>
                <w:sz w:val="18"/>
                <w:szCs w:val="18"/>
              </w:rPr>
              <w:t>Collaborazione con l'</w:t>
            </w:r>
            <w:proofErr w:type="spellStart"/>
            <w:r w:rsidRPr="00130978">
              <w:rPr>
                <w:sz w:val="18"/>
                <w:szCs w:val="18"/>
              </w:rPr>
              <w:t>Unical</w:t>
            </w:r>
            <w:proofErr w:type="spellEnd"/>
            <w:r w:rsidRPr="00130978">
              <w:rPr>
                <w:sz w:val="18"/>
                <w:szCs w:val="18"/>
              </w:rPr>
              <w:t xml:space="preserve"> al fine di adottare la cartografia GIS per l’ottimizzazione della gestione del territorio e una mappatura delle utenze ottenendo un aumento notevole delle entrate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83329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Creazione di una specifica delega assessoriale per l’organizzazione delle manifestazioni e del flusso dei Pellegrini inerente alla santificazione del Beato Angelo per la cura dei rapporti con la Curia e le istituzioni religiose e per la valorizzazione di importanti luoghi storici e di culto quali la chiesa di San Nicola di Belvedere, la Pietra del Beato Angelo, la Chiesa di Santa Chiara, la Chiesa della Madonna del Rinfresco e del complesso conventuale San Francesco di Paola</w:t>
            </w:r>
          </w:p>
        </w:tc>
        <w:tc>
          <w:tcPr>
            <w:tcW w:w="1566" w:type="dxa"/>
          </w:tcPr>
          <w:p w:rsidR="00BA2C9E" w:rsidRPr="003576C5" w:rsidRDefault="00C12999" w:rsidP="003576C5">
            <w:pPr>
              <w:jc w:val="center"/>
              <w:rPr>
                <w:color w:val="92D050"/>
              </w:rPr>
            </w:pPr>
            <w:r w:rsidRPr="003576C5">
              <w:rPr>
                <w:color w:val="92D050"/>
              </w:rPr>
              <w:t>✔</w:t>
            </w:r>
          </w:p>
        </w:tc>
        <w:tc>
          <w:tcPr>
            <w:tcW w:w="1171" w:type="dxa"/>
          </w:tcPr>
          <w:p w:rsidR="00BA2C9E" w:rsidRDefault="00BA2C9E" w:rsidP="003576C5"/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83329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Implementazione dei rapporti con le due maggiori istituzioni culturali : Fondazione Padula e </w:t>
            </w:r>
            <w:proofErr w:type="spellStart"/>
            <w:r w:rsidRPr="005A22DD">
              <w:rPr>
                <w:sz w:val="18"/>
                <w:szCs w:val="18"/>
              </w:rPr>
              <w:t>Maca</w:t>
            </w:r>
            <w:proofErr w:type="spellEnd"/>
          </w:p>
        </w:tc>
        <w:tc>
          <w:tcPr>
            <w:tcW w:w="1566" w:type="dxa"/>
          </w:tcPr>
          <w:p w:rsidR="00BA2C9E" w:rsidRPr="00EA019E" w:rsidRDefault="00BA2C9E" w:rsidP="003576C5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1171" w:type="dxa"/>
          </w:tcPr>
          <w:p w:rsidR="00BA2C9E" w:rsidRPr="001C1996" w:rsidRDefault="004D4DD1" w:rsidP="003576C5">
            <w:pPr>
              <w:jc w:val="center"/>
              <w:rPr>
                <w:sz w:val="24"/>
                <w:szCs w:val="24"/>
              </w:rPr>
            </w:pPr>
            <w:r w:rsidRPr="001C1996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83329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Rivitalizzare l’attività del Museo della Civiltà Contadina a partire da una probabile riallocazione e del Museo Micologico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Apertura del caffè</w:t>
            </w:r>
            <w:r w:rsidR="003576C5">
              <w:rPr>
                <w:sz w:val="18"/>
                <w:szCs w:val="18"/>
              </w:rPr>
              <w:t xml:space="preserve"> </w:t>
            </w:r>
            <w:r w:rsidRPr="005A22DD">
              <w:rPr>
                <w:sz w:val="18"/>
                <w:szCs w:val="18"/>
              </w:rPr>
              <w:t>letterario attraverso l’affido della struttura tramite bando di pubblico interesse e istituzionalizzazione della sua attività attraverso la stretta collaborazione con l’Assessorato alla cultura l associazione culturale presenti sul territorio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3576C5" w:rsidRDefault="003576C5" w:rsidP="003576C5">
            <w:pPr>
              <w:jc w:val="center"/>
              <w:rPr>
                <w:color w:val="FF0000"/>
              </w:rPr>
            </w:pPr>
            <w:r w:rsidRPr="003576C5">
              <w:rPr>
                <w:color w:val="FF0000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jc w:val="center"/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Valorizzazione e promozione dell’Opera degli Intellettuali che hanno fatto la storia culturale della nostra città a partire ovviamente da: Padula ,Julia, Arena e Talarico, anche e soprattutto attraverso l’avvio di una collaborazione di qualità con Università della Calabria e la fondazione Padula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lastRenderedPageBreak/>
              <w:t>Potenziamento della biblioteca comunale a partire dall’acquisizione delle opere dei maggiori intellettuali calabresi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Intensificare la collaborazione dell’Ente Comunale con le scuole del territorio anche attraverso un’attenzione maggiore ai percorsi di alternanza scuola-lavoro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Ingresso del comune di Acri nella fondazione in partecipazione denominato area MAB Sila strumento giuridico indispensabile per la gestione di progetti europei e internazionali riguardante la valorizzazione dei comuni presenti nella riserva MAB Sila -UNESCO</w:t>
            </w:r>
          </w:p>
        </w:tc>
        <w:tc>
          <w:tcPr>
            <w:tcW w:w="1566" w:type="dxa"/>
          </w:tcPr>
          <w:p w:rsidR="00BA2C9E" w:rsidRPr="003576C5" w:rsidRDefault="00157575" w:rsidP="003576C5">
            <w:pPr>
              <w:jc w:val="center"/>
              <w:rPr>
                <w:color w:val="92D050"/>
              </w:rPr>
            </w:pPr>
            <w:r w:rsidRPr="003576C5">
              <w:rPr>
                <w:color w:val="92D050"/>
              </w:rPr>
              <w:t>✔</w:t>
            </w:r>
          </w:p>
        </w:tc>
        <w:tc>
          <w:tcPr>
            <w:tcW w:w="1171" w:type="dxa"/>
          </w:tcPr>
          <w:p w:rsidR="00BA2C9E" w:rsidRDefault="00BA2C9E" w:rsidP="003576C5"/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Puntare alla realizzazione di un canile comunale attraverso il recepimento di </w:t>
            </w:r>
            <w:r w:rsidR="005A1C2F">
              <w:rPr>
                <w:sz w:val="18"/>
                <w:szCs w:val="18"/>
              </w:rPr>
              <w:t>f</w:t>
            </w:r>
            <w:r w:rsidRPr="005A22DD">
              <w:rPr>
                <w:sz w:val="18"/>
                <w:szCs w:val="18"/>
              </w:rPr>
              <w:t>ondi ad hoc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367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Creazione degli orti sociali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F72E0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F72E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781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Censimento delle terre incolte e abbandonate di proprietà regionale e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Smantellamento dell'amianto ancora presente sul nostro territorio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F72E0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Promozione di momenti di educazione alla raccolta differenziata e al rispetto verso l'ambiente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Aumento della vigilanza sul territorio al fine di ridurre l’inquinamento in collaborazione con le associazioni presenti e le istituzioni operanti nel settore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BA2C9E" w:rsidP="003576C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color w:val="171785"/>
              </w:rPr>
              <w:t>X</w:t>
            </w: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Ripristino di momenti di promozione del territorio dei prodotti locali e delle eccellenze imprenditoriali attraverso politiche di sviluppo dirette anzitutto alla promozione di prodotti tipici quasi scomparsi del tessuto imprenditoriale acrese</w:t>
            </w:r>
          </w:p>
        </w:tc>
        <w:tc>
          <w:tcPr>
            <w:tcW w:w="1566" w:type="dxa"/>
          </w:tcPr>
          <w:p w:rsidR="00BA2C9E" w:rsidRPr="0024771D" w:rsidRDefault="00BA2C9E" w:rsidP="003576C5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1171" w:type="dxa"/>
          </w:tcPr>
          <w:p w:rsidR="00BA2C9E" w:rsidRPr="008D428F" w:rsidRDefault="00BA2C9E" w:rsidP="003576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color w:val="171785"/>
              </w:rPr>
              <w:t>X</w:t>
            </w: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Promozione attraverso il decreto “</w:t>
            </w:r>
            <w:proofErr w:type="spellStart"/>
            <w:r w:rsidRPr="005A22DD">
              <w:rPr>
                <w:sz w:val="18"/>
                <w:szCs w:val="18"/>
              </w:rPr>
              <w:t>TerreVive</w:t>
            </w:r>
            <w:proofErr w:type="spellEnd"/>
            <w:r w:rsidR="00080EEA">
              <w:rPr>
                <w:sz w:val="18"/>
                <w:szCs w:val="18"/>
              </w:rPr>
              <w:t xml:space="preserve"> </w:t>
            </w:r>
            <w:r w:rsidRPr="005A22DD">
              <w:rPr>
                <w:sz w:val="18"/>
                <w:szCs w:val="18"/>
              </w:rPr>
              <w:t xml:space="preserve">e attraverso la banca  della terra predisposta da </w:t>
            </w:r>
            <w:proofErr w:type="spellStart"/>
            <w:r w:rsidRPr="005A22DD">
              <w:rPr>
                <w:sz w:val="18"/>
                <w:szCs w:val="18"/>
              </w:rPr>
              <w:t>Ismea</w:t>
            </w:r>
            <w:proofErr w:type="spellEnd"/>
            <w:r w:rsidRPr="005A22DD">
              <w:rPr>
                <w:sz w:val="18"/>
                <w:szCs w:val="18"/>
              </w:rPr>
              <w:t xml:space="preserve"> dell’imprenditorialità giovanile assegnando a giovani agricoltori singoli e associati in forma cooperativa e a cooperative sociali terreni a vocazione agricola di proprietà regionale e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Istituzione di specifici concorsi di idee rivolte soprattutto ai giovani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8D428F" w:rsidP="0035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Implementazione della </w:t>
            </w:r>
            <w:proofErr w:type="spellStart"/>
            <w:r>
              <w:rPr>
                <w:sz w:val="18"/>
                <w:szCs w:val="18"/>
              </w:rPr>
              <w:t>W</w:t>
            </w:r>
            <w:r w:rsidR="00BA2C9E" w:rsidRPr="005A22D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-</w:t>
            </w:r>
            <w:r w:rsidR="00BA2C9E" w:rsidRPr="005A22DD">
              <w:rPr>
                <w:sz w:val="18"/>
                <w:szCs w:val="18"/>
              </w:rPr>
              <w:t>fi</w:t>
            </w:r>
            <w:proofErr w:type="spellEnd"/>
            <w:r>
              <w:rPr>
                <w:sz w:val="18"/>
                <w:szCs w:val="18"/>
              </w:rPr>
              <w:t xml:space="preserve"> free z</w:t>
            </w:r>
            <w:r w:rsidR="00BA2C9E" w:rsidRPr="005A22DD">
              <w:rPr>
                <w:sz w:val="18"/>
                <w:szCs w:val="18"/>
              </w:rPr>
              <w:t>one sul territorio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lastRenderedPageBreak/>
              <w:t>Istituzione della banca del tempo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Creazione dei gruppi di acquisto solidale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Avvio di una campagna di sensibilizzazione volta ad incoraggiare i cittadini contribuenti di destinare all’ente comunale il loro 5 per mille all’ente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Nascita casa di riposo</w:t>
            </w:r>
            <w:r w:rsidR="00DE481A">
              <w:rPr>
                <w:sz w:val="18"/>
                <w:szCs w:val="18"/>
              </w:rPr>
              <w:t xml:space="preserve"> (</w:t>
            </w:r>
            <w:r w:rsidRPr="005A22DD">
              <w:rPr>
                <w:sz w:val="18"/>
                <w:szCs w:val="18"/>
              </w:rPr>
              <w:t xml:space="preserve"> ex scuola </w:t>
            </w:r>
            <w:proofErr w:type="spellStart"/>
            <w:r w:rsidRPr="005A22DD">
              <w:rPr>
                <w:sz w:val="18"/>
                <w:szCs w:val="18"/>
              </w:rPr>
              <w:t>Vaglica</w:t>
            </w:r>
            <w:proofErr w:type="spellEnd"/>
            <w:r w:rsidRPr="005A22DD">
              <w:rPr>
                <w:sz w:val="18"/>
                <w:szCs w:val="18"/>
              </w:rPr>
              <w:t>)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Istituzione di un</w:t>
            </w:r>
            <w:r w:rsidR="008D428F">
              <w:rPr>
                <w:sz w:val="18"/>
                <w:szCs w:val="18"/>
              </w:rPr>
              <w:t xml:space="preserve"> centro diurno per anziani a Là </w:t>
            </w:r>
            <w:proofErr w:type="spellStart"/>
            <w:r w:rsidRPr="005A22DD">
              <w:rPr>
                <w:sz w:val="18"/>
                <w:szCs w:val="18"/>
              </w:rPr>
              <w:t>Mucone</w:t>
            </w:r>
            <w:proofErr w:type="spellEnd"/>
            <w:r w:rsidRPr="005A22DD">
              <w:rPr>
                <w:sz w:val="18"/>
                <w:szCs w:val="18"/>
              </w:rPr>
              <w:t xml:space="preserve"> e a San Giacomo d’Acri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Creazione della Cittadella della sanità attraverso la locazione presso i locali inutilizzati dell’ospedale </w:t>
            </w:r>
            <w:r w:rsidR="00110CC7">
              <w:rPr>
                <w:sz w:val="18"/>
                <w:szCs w:val="18"/>
              </w:rPr>
              <w:t>Beato</w:t>
            </w:r>
            <w:r w:rsidRPr="005A22DD">
              <w:rPr>
                <w:sz w:val="18"/>
                <w:szCs w:val="18"/>
              </w:rPr>
              <w:t xml:space="preserve"> Angelo dell’Ufficio protesico, del poliambulatorio, della commissione invalidi , del CUP, degli uffici amministrativi al fine di rendere più efficienti </w:t>
            </w:r>
            <w:r w:rsidR="008D428F">
              <w:rPr>
                <w:sz w:val="18"/>
                <w:szCs w:val="18"/>
              </w:rPr>
              <w:t xml:space="preserve">i </w:t>
            </w:r>
            <w:r w:rsidRPr="005A22DD">
              <w:rPr>
                <w:sz w:val="18"/>
                <w:szCs w:val="18"/>
              </w:rPr>
              <w:t>servizi e razionalizzare le spese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970F8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Creazione nelle zone di Acri centro , </w:t>
            </w:r>
            <w:r w:rsidR="005A1C2F">
              <w:rPr>
                <w:sz w:val="18"/>
                <w:szCs w:val="18"/>
              </w:rPr>
              <w:t xml:space="preserve">Là </w:t>
            </w:r>
            <w:proofErr w:type="spellStart"/>
            <w:r w:rsidR="005A1C2F">
              <w:rPr>
                <w:sz w:val="18"/>
                <w:szCs w:val="18"/>
              </w:rPr>
              <w:t>Mucone</w:t>
            </w:r>
            <w:proofErr w:type="spellEnd"/>
            <w:r w:rsidRPr="005A22DD">
              <w:rPr>
                <w:sz w:val="18"/>
                <w:szCs w:val="18"/>
              </w:rPr>
              <w:t xml:space="preserve"> e San Giacomo d’Acri di 3 stazioni per l’elisoccorso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970F8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Istituzione dell' </w:t>
            </w:r>
            <w:r w:rsidR="00351724">
              <w:rPr>
                <w:sz w:val="18"/>
                <w:szCs w:val="18"/>
              </w:rPr>
              <w:t>A</w:t>
            </w:r>
            <w:r w:rsidRPr="005A22DD">
              <w:rPr>
                <w:sz w:val="18"/>
                <w:szCs w:val="18"/>
              </w:rPr>
              <w:t xml:space="preserve">mbulatorio </w:t>
            </w:r>
            <w:r w:rsidR="00351724">
              <w:rPr>
                <w:sz w:val="18"/>
                <w:szCs w:val="18"/>
              </w:rPr>
              <w:t>S</w:t>
            </w:r>
            <w:r w:rsidRPr="005A22DD">
              <w:rPr>
                <w:sz w:val="18"/>
                <w:szCs w:val="18"/>
              </w:rPr>
              <w:t>ociale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970F8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Istituzione dell'ufficio del piano e approvazione entro i termini previsti dalla legge del Piano strutturale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970F8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Lavori pubblici completamento delle opere già oggetto di perizie o in via di ultimazione quali Palazzo </w:t>
            </w:r>
            <w:proofErr w:type="spellStart"/>
            <w:r w:rsidRPr="005A22DD">
              <w:rPr>
                <w:sz w:val="18"/>
                <w:szCs w:val="18"/>
              </w:rPr>
              <w:t>Sprovieri</w:t>
            </w:r>
            <w:proofErr w:type="spellEnd"/>
            <w:r w:rsidRPr="005A22DD">
              <w:rPr>
                <w:sz w:val="18"/>
                <w:szCs w:val="18"/>
              </w:rPr>
              <w:t xml:space="preserve"> Palazzetto dello sport e teatro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BA2C9E" w:rsidP="003576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color w:val="171785"/>
              </w:rPr>
              <w:t>X</w:t>
            </w:r>
          </w:p>
        </w:tc>
      </w:tr>
      <w:tr w:rsidR="00BA2C9E" w:rsidRPr="00970F8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Potenziamento rete fognaria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RPr="00970F81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 660: </w:t>
            </w:r>
            <w:r w:rsidRPr="005A22DD">
              <w:rPr>
                <w:sz w:val="18"/>
                <w:szCs w:val="18"/>
              </w:rPr>
              <w:t>completamento primo lotto e avvio dei lotti successivi attraverso la collaborazione con gli altri enti territoriali competenti e l’avvio di una fase di vigilanza minuzio</w:t>
            </w:r>
            <w:r w:rsidR="008D428F">
              <w:rPr>
                <w:sz w:val="18"/>
                <w:szCs w:val="18"/>
              </w:rPr>
              <w:t>sa da parte dell’assessorato al r</w:t>
            </w:r>
            <w:r w:rsidRPr="005A22DD">
              <w:rPr>
                <w:sz w:val="18"/>
                <w:szCs w:val="18"/>
              </w:rPr>
              <w:t>amo sui  relativi progetti e sulle possibilità di intercettare fondi per il completamento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22DD">
              <w:rPr>
                <w:sz w:val="18"/>
                <w:szCs w:val="18"/>
              </w:rPr>
              <w:t>vvio del programma di valutazione di vulnerabilità sismica degli edifici di proprietà comunale e degli istituti scolastici di pertinenza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BA2C9E" w:rsidP="003576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color w:val="171785"/>
              </w:rPr>
              <w:t>X</w:t>
            </w: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lastRenderedPageBreak/>
              <w:t>Avvio del Piano energetico Comunale con l'obiettivo di riconvertire a fonti di energia rinnovabile quali il fotovoltaico, il sistema di pubblica illuminazione dell'intero territorio comunale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617FC8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Abbattimento barriere architettoniche ancora presenti sul territorio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Maggiore attenzione alle dinamiche centro- frazioni periferiche ad uno sviluppo di opportunità alternativa all'uso del mezzo privato soprattutto per i brevi spostamenti, piste ciclabili e pedonali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617FC8">
              <w:rPr>
                <w:sz w:val="18"/>
                <w:szCs w:val="18"/>
              </w:rPr>
              <w:t>Regolamentazione parchimetri e contestuale creazione di fasce blu e zone bianche per una migliore fruizione degli spazi urbani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1354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Sistemazione delle strade comunali di collegamento tra periferia e centro urbano nonché sistemazione aree urbane attraverso cura del verde pubblico e del decoro urbano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Riproposizione dei Giochi della gioventù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Analisi del sistema sportivo locale e  censimento di tutti gli impianti sportivi esistenti piccoli e grandi pubblici e privati al fine di</w:t>
            </w:r>
            <w:r>
              <w:rPr>
                <w:sz w:val="18"/>
                <w:szCs w:val="18"/>
              </w:rPr>
              <w:t xml:space="preserve"> valutarne le  condizioni</w:t>
            </w:r>
            <w:r w:rsidRPr="005A22DD">
              <w:rPr>
                <w:sz w:val="18"/>
                <w:szCs w:val="18"/>
              </w:rPr>
              <w:t xml:space="preserve"> di  fruibilità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Pr="003576C5" w:rsidRDefault="00BA2C9E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Completare gli impianti </w:t>
            </w:r>
            <w:r w:rsidR="008D428F">
              <w:rPr>
                <w:sz w:val="18"/>
                <w:szCs w:val="18"/>
              </w:rPr>
              <w:t xml:space="preserve">sportivi </w:t>
            </w:r>
            <w:r w:rsidRPr="005A22DD">
              <w:rPr>
                <w:sz w:val="18"/>
                <w:szCs w:val="18"/>
              </w:rPr>
              <w:t xml:space="preserve">in corso di costruzione </w:t>
            </w:r>
          </w:p>
        </w:tc>
        <w:tc>
          <w:tcPr>
            <w:tcW w:w="1566" w:type="dxa"/>
          </w:tcPr>
          <w:p w:rsidR="00BA2C9E" w:rsidRPr="0051559F" w:rsidRDefault="00BA2C9E" w:rsidP="003576C5">
            <w:pPr>
              <w:rPr>
                <w:color w:val="92D050"/>
                <w:sz w:val="32"/>
                <w:szCs w:val="32"/>
              </w:rPr>
            </w:pPr>
          </w:p>
        </w:tc>
        <w:tc>
          <w:tcPr>
            <w:tcW w:w="1171" w:type="dxa"/>
          </w:tcPr>
          <w:p w:rsidR="00BA2C9E" w:rsidRPr="008D428F" w:rsidRDefault="00BA2C9E" w:rsidP="003576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BA2C9E" w:rsidRPr="003576C5" w:rsidRDefault="003576C5" w:rsidP="003576C5">
            <w:pPr>
              <w:jc w:val="center"/>
              <w:rPr>
                <w:color w:val="171785"/>
              </w:rPr>
            </w:pPr>
            <w:r w:rsidRPr="003576C5">
              <w:rPr>
                <w:color w:val="171785"/>
              </w:rPr>
              <w:t>X</w:t>
            </w:r>
          </w:p>
        </w:tc>
      </w:tr>
      <w:tr w:rsidR="008D428F" w:rsidTr="003576C5">
        <w:trPr>
          <w:trHeight w:val="870"/>
        </w:trPr>
        <w:tc>
          <w:tcPr>
            <w:tcW w:w="3787" w:type="dxa"/>
          </w:tcPr>
          <w:p w:rsidR="008D428F" w:rsidRDefault="008D428F" w:rsidP="003576C5">
            <w:r>
              <w:rPr>
                <w:sz w:val="18"/>
                <w:szCs w:val="18"/>
              </w:rPr>
              <w:t>I</w:t>
            </w:r>
            <w:r w:rsidRPr="00781B9A">
              <w:rPr>
                <w:sz w:val="18"/>
                <w:szCs w:val="18"/>
              </w:rPr>
              <w:t>ntensificare i rapporti con le associazioni sportive sul territorio al fine di agevolarne le attività</w:t>
            </w:r>
          </w:p>
        </w:tc>
        <w:tc>
          <w:tcPr>
            <w:tcW w:w="1566" w:type="dxa"/>
          </w:tcPr>
          <w:p w:rsidR="008D428F" w:rsidRDefault="008D428F" w:rsidP="003576C5"/>
        </w:tc>
        <w:tc>
          <w:tcPr>
            <w:tcW w:w="1171" w:type="dxa"/>
          </w:tcPr>
          <w:p w:rsidR="008D428F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8D428F" w:rsidRPr="003576C5" w:rsidRDefault="008D428F" w:rsidP="003576C5">
            <w:pPr>
              <w:rPr>
                <w:color w:val="171785"/>
              </w:rPr>
            </w:pPr>
          </w:p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Realizzazione di un gruppo di lavoro che pianifichi il servizio sportivo sul territorio attraverso l’analisi della domanda e dell’offerta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Default="00BA2C9E" w:rsidP="003576C5"/>
        </w:tc>
      </w:tr>
      <w:tr w:rsidR="00BA2C9E" w:rsidTr="003576C5">
        <w:trPr>
          <w:trHeight w:val="870"/>
        </w:trPr>
        <w:tc>
          <w:tcPr>
            <w:tcW w:w="3787" w:type="dxa"/>
          </w:tcPr>
          <w:p w:rsidR="00BA2C9E" w:rsidRPr="005A22DD" w:rsidRDefault="00BA2C9E" w:rsidP="003576C5">
            <w:pPr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Realizzare interventi in base ai bisogni emersi di adeguamento e o riconversione degli spazi sportivi esistenti con progetti migliorativi</w:t>
            </w:r>
          </w:p>
        </w:tc>
        <w:tc>
          <w:tcPr>
            <w:tcW w:w="1566" w:type="dxa"/>
          </w:tcPr>
          <w:p w:rsidR="00BA2C9E" w:rsidRDefault="00BA2C9E" w:rsidP="003576C5"/>
        </w:tc>
        <w:tc>
          <w:tcPr>
            <w:tcW w:w="1171" w:type="dxa"/>
          </w:tcPr>
          <w:p w:rsidR="00BA2C9E" w:rsidRPr="008D428F" w:rsidRDefault="008D428F" w:rsidP="003576C5">
            <w:pPr>
              <w:jc w:val="center"/>
              <w:rPr>
                <w:color w:val="FF0000"/>
                <w:sz w:val="24"/>
                <w:szCs w:val="24"/>
              </w:rPr>
            </w:pPr>
            <w:r w:rsidRPr="008D428F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22" w:type="dxa"/>
          </w:tcPr>
          <w:p w:rsidR="00BA2C9E" w:rsidRDefault="00BA2C9E" w:rsidP="003576C5"/>
        </w:tc>
      </w:tr>
    </w:tbl>
    <w:p w:rsidR="00A26587" w:rsidRDefault="003576C5">
      <w:r>
        <w:br w:type="textWrapping" w:clear="all"/>
      </w:r>
    </w:p>
    <w:sectPr w:rsidR="00A26587" w:rsidSect="006F2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3C"/>
    <w:rsid w:val="00045204"/>
    <w:rsid w:val="00080EEA"/>
    <w:rsid w:val="000D7EE5"/>
    <w:rsid w:val="00110CC7"/>
    <w:rsid w:val="00130978"/>
    <w:rsid w:val="00157575"/>
    <w:rsid w:val="00191F3C"/>
    <w:rsid w:val="001963B9"/>
    <w:rsid w:val="001C1996"/>
    <w:rsid w:val="0024771D"/>
    <w:rsid w:val="002924FA"/>
    <w:rsid w:val="002B6150"/>
    <w:rsid w:val="00351724"/>
    <w:rsid w:val="003576C5"/>
    <w:rsid w:val="0036447E"/>
    <w:rsid w:val="0038430B"/>
    <w:rsid w:val="004D4DD1"/>
    <w:rsid w:val="0051559F"/>
    <w:rsid w:val="005A1C2F"/>
    <w:rsid w:val="005A22DD"/>
    <w:rsid w:val="00617FC8"/>
    <w:rsid w:val="006843B1"/>
    <w:rsid w:val="00697007"/>
    <w:rsid w:val="006B3A86"/>
    <w:rsid w:val="006F27FF"/>
    <w:rsid w:val="00872ED8"/>
    <w:rsid w:val="008D428F"/>
    <w:rsid w:val="008E2669"/>
    <w:rsid w:val="008F72E0"/>
    <w:rsid w:val="00946D8A"/>
    <w:rsid w:val="00950ABC"/>
    <w:rsid w:val="00983AFF"/>
    <w:rsid w:val="009C5E75"/>
    <w:rsid w:val="009D222C"/>
    <w:rsid w:val="00A663A5"/>
    <w:rsid w:val="00A73607"/>
    <w:rsid w:val="00AC5934"/>
    <w:rsid w:val="00AD2E45"/>
    <w:rsid w:val="00BA2C9E"/>
    <w:rsid w:val="00C12999"/>
    <w:rsid w:val="00C764BE"/>
    <w:rsid w:val="00DA737A"/>
    <w:rsid w:val="00DC52BD"/>
    <w:rsid w:val="00DE4698"/>
    <w:rsid w:val="00DE481A"/>
    <w:rsid w:val="00EA019E"/>
    <w:rsid w:val="00F95A45"/>
    <w:rsid w:val="00FB2E39"/>
    <w:rsid w:val="00FB4FE0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21693-AA7E-A34F-B293-10D55F8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F3C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1F3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F3C"/>
    <w:rPr>
      <w:rFonts w:ascii="Tahoma" w:eastAsiaTheme="minorEastAsi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E4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nicola nigro</cp:lastModifiedBy>
  <cp:revision>2</cp:revision>
  <dcterms:created xsi:type="dcterms:W3CDTF">2021-04-01T08:55:00Z</dcterms:created>
  <dcterms:modified xsi:type="dcterms:W3CDTF">2021-04-01T08:55:00Z</dcterms:modified>
</cp:coreProperties>
</file>